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2AE" w:rsidRDefault="00213004" w:rsidP="004E02AE">
      <w:pPr>
        <w:spacing w:line="480" w:lineRule="auto"/>
        <w:ind w:firstLine="720"/>
        <w:jc w:val="center"/>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t>Institutional Affiliation</w:t>
      </w:r>
    </w:p>
    <w:p w:rsidR="004E02AE" w:rsidRDefault="00213004" w:rsidP="004E02AE">
      <w:pPr>
        <w:spacing w:line="480" w:lineRule="auto"/>
        <w:ind w:firstLine="720"/>
        <w:jc w:val="center"/>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t>Student’s Name</w:t>
      </w:r>
    </w:p>
    <w:p w:rsidR="004E02AE" w:rsidRDefault="00213004" w:rsidP="004E02AE">
      <w:pPr>
        <w:spacing w:line="480" w:lineRule="auto"/>
        <w:ind w:firstLine="720"/>
        <w:jc w:val="center"/>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t>Task</w:t>
      </w:r>
    </w:p>
    <w:p w:rsidR="004E02AE" w:rsidRDefault="00213004" w:rsidP="004E02AE">
      <w:pPr>
        <w:spacing w:line="480" w:lineRule="auto"/>
        <w:ind w:firstLine="720"/>
        <w:jc w:val="center"/>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t>Date</w:t>
      </w: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4E02AE" w:rsidRDefault="004E02AE" w:rsidP="004E02AE">
      <w:pPr>
        <w:spacing w:line="480" w:lineRule="auto"/>
        <w:ind w:firstLine="720"/>
        <w:jc w:val="both"/>
        <w:rPr>
          <w:rFonts w:ascii="Times New Roman" w:eastAsia="Times New Roman" w:hAnsi="Times New Roman" w:cs="Times New Roman"/>
          <w:color w:val="1B1B1B"/>
          <w:sz w:val="24"/>
          <w:szCs w:val="27"/>
        </w:rPr>
      </w:pPr>
    </w:p>
    <w:p w:rsidR="000B6F5A" w:rsidRPr="000B6F5A" w:rsidRDefault="00213004" w:rsidP="004E02AE">
      <w:pPr>
        <w:spacing w:line="480" w:lineRule="auto"/>
        <w:ind w:firstLine="720"/>
        <w:jc w:val="both"/>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lastRenderedPageBreak/>
        <w:t>Performance management is a process that acts to establish a shared workforce understanding regarding what needs to be achieved at an organizational level.</w:t>
      </w:r>
      <w:r w:rsidR="00007B16">
        <w:rPr>
          <w:rFonts w:ascii="Times New Roman" w:eastAsia="Times New Roman" w:hAnsi="Times New Roman" w:cs="Times New Roman"/>
          <w:color w:val="1B1B1B"/>
          <w:sz w:val="24"/>
          <w:szCs w:val="27"/>
        </w:rPr>
        <w:t xml:space="preserve"> The overall emphasis is usually put on business strategies coupled with the creation of a high performing workforce. It is argued that performance management strategies have been used to ensure that the activities and responsibilities awarded to the employees are in line with the objectives of the organization and specifically includes the activities that are geared towards successful implementation of the strategies to achieve the set goals.</w:t>
      </w:r>
    </w:p>
    <w:p w:rsidR="00F2472C" w:rsidRDefault="00213004" w:rsidP="004E02AE">
      <w:pPr>
        <w:spacing w:line="480" w:lineRule="auto"/>
        <w:ind w:firstLine="720"/>
        <w:jc w:val="both"/>
        <w:rPr>
          <w:rFonts w:ascii="Times New Roman" w:eastAsia="Times New Roman" w:hAnsi="Times New Roman" w:cs="Times New Roman"/>
          <w:color w:val="1B1B1B"/>
          <w:sz w:val="24"/>
          <w:szCs w:val="27"/>
        </w:rPr>
      </w:pPr>
      <w:r>
        <w:rPr>
          <w:rFonts w:ascii="Times New Roman" w:eastAsia="Times New Roman" w:hAnsi="Times New Roman" w:cs="Times New Roman"/>
          <w:color w:val="1B1B1B"/>
          <w:sz w:val="24"/>
          <w:szCs w:val="27"/>
        </w:rPr>
        <w:t xml:space="preserve">Herman Aguinis </w:t>
      </w:r>
      <w:r w:rsidR="004E02AE">
        <w:rPr>
          <w:rFonts w:ascii="Times New Roman" w:eastAsia="Times New Roman" w:hAnsi="Times New Roman" w:cs="Times New Roman"/>
          <w:color w:val="1B1B1B"/>
          <w:sz w:val="24"/>
          <w:szCs w:val="27"/>
        </w:rPr>
        <w:t xml:space="preserve">(2011) </w:t>
      </w:r>
      <w:r>
        <w:rPr>
          <w:rFonts w:ascii="Times New Roman" w:eastAsia="Times New Roman" w:hAnsi="Times New Roman" w:cs="Times New Roman"/>
          <w:color w:val="1B1B1B"/>
          <w:sz w:val="24"/>
          <w:szCs w:val="27"/>
        </w:rPr>
        <w:t xml:space="preserve">outlines the topic of performance management as a continuous process that identifies measures and develops the performance of individuals and specific teams while aligning this to the general performance with strategic and well-defined goals of the organization.  In this book, it is argued that successes in various business organizations do not always originate from technology and products but rather it is obtained from how the people are organized and managed. Herman states that performance management can be considered as a key and important toll to improve </w:t>
      </w:r>
      <w:r w:rsidR="000B6F5A">
        <w:rPr>
          <w:rFonts w:ascii="Times New Roman" w:eastAsia="Times New Roman" w:hAnsi="Times New Roman" w:cs="Times New Roman"/>
          <w:color w:val="1B1B1B"/>
          <w:sz w:val="24"/>
          <w:szCs w:val="27"/>
        </w:rPr>
        <w:t>the efficiency of an organization and its employees as well.</w:t>
      </w:r>
    </w:p>
    <w:p w:rsidR="004E02AE" w:rsidRDefault="004E02AE" w:rsidP="004E02AE">
      <w:pPr>
        <w:spacing w:line="480" w:lineRule="auto"/>
        <w:ind w:firstLine="720"/>
        <w:jc w:val="center"/>
        <w:rPr>
          <w:rFonts w:ascii="Times New Roman" w:hAnsi="Times New Roman" w:cs="Times New Roman"/>
          <w:b/>
          <w:sz w:val="24"/>
        </w:rPr>
      </w:pPr>
    </w:p>
    <w:p w:rsidR="004E02AE" w:rsidRDefault="004E02AE" w:rsidP="004E02AE">
      <w:pPr>
        <w:spacing w:line="480" w:lineRule="auto"/>
        <w:ind w:firstLine="720"/>
        <w:jc w:val="center"/>
        <w:rPr>
          <w:rFonts w:ascii="Times New Roman" w:hAnsi="Times New Roman" w:cs="Times New Roman"/>
          <w:b/>
          <w:sz w:val="24"/>
        </w:rPr>
      </w:pPr>
    </w:p>
    <w:p w:rsidR="004E02AE" w:rsidRDefault="004E02AE" w:rsidP="004E02AE">
      <w:pPr>
        <w:spacing w:line="480" w:lineRule="auto"/>
        <w:ind w:firstLine="720"/>
        <w:jc w:val="center"/>
        <w:rPr>
          <w:rFonts w:ascii="Times New Roman" w:hAnsi="Times New Roman" w:cs="Times New Roman"/>
          <w:b/>
          <w:sz w:val="24"/>
        </w:rPr>
      </w:pPr>
    </w:p>
    <w:p w:rsidR="004E02AE" w:rsidRDefault="004E02AE" w:rsidP="004E02AE">
      <w:pPr>
        <w:spacing w:line="480" w:lineRule="auto"/>
        <w:ind w:firstLine="720"/>
        <w:jc w:val="center"/>
        <w:rPr>
          <w:rFonts w:ascii="Times New Roman" w:hAnsi="Times New Roman" w:cs="Times New Roman"/>
          <w:b/>
          <w:sz w:val="24"/>
        </w:rPr>
      </w:pPr>
    </w:p>
    <w:p w:rsidR="004E02AE" w:rsidRDefault="004E02AE" w:rsidP="004E02AE">
      <w:pPr>
        <w:spacing w:line="480" w:lineRule="auto"/>
        <w:rPr>
          <w:rFonts w:ascii="Times New Roman" w:hAnsi="Times New Roman" w:cs="Times New Roman"/>
          <w:b/>
          <w:sz w:val="24"/>
        </w:rPr>
      </w:pPr>
    </w:p>
    <w:p w:rsidR="00F714EC" w:rsidRDefault="00F714EC" w:rsidP="004E02AE">
      <w:pPr>
        <w:spacing w:line="480" w:lineRule="auto"/>
        <w:ind w:firstLine="720"/>
        <w:jc w:val="center"/>
        <w:rPr>
          <w:rFonts w:ascii="Times New Roman" w:hAnsi="Times New Roman" w:cs="Times New Roman"/>
          <w:b/>
          <w:sz w:val="24"/>
        </w:rPr>
      </w:pPr>
    </w:p>
    <w:p w:rsidR="004E02AE" w:rsidRPr="004E02AE" w:rsidRDefault="00213004" w:rsidP="004E02AE">
      <w:pPr>
        <w:spacing w:line="480" w:lineRule="auto"/>
        <w:ind w:firstLine="720"/>
        <w:jc w:val="center"/>
        <w:rPr>
          <w:rFonts w:ascii="Times New Roman" w:hAnsi="Times New Roman" w:cs="Times New Roman"/>
          <w:b/>
          <w:sz w:val="24"/>
        </w:rPr>
      </w:pPr>
      <w:r w:rsidRPr="004E02AE">
        <w:rPr>
          <w:rFonts w:ascii="Times New Roman" w:hAnsi="Times New Roman" w:cs="Times New Roman"/>
          <w:b/>
          <w:sz w:val="24"/>
        </w:rPr>
        <w:lastRenderedPageBreak/>
        <w:t>Importance of performance view over some time</w:t>
      </w:r>
    </w:p>
    <w:p w:rsid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Setting and defining clear development plans to the employees through the application of actions, results and </w:t>
      </w:r>
      <w:r w:rsidR="00F714EC">
        <w:rPr>
          <w:rFonts w:ascii="Times New Roman" w:hAnsi="Times New Roman" w:cs="Times New Roman"/>
          <w:sz w:val="24"/>
        </w:rPr>
        <w:t>behaviors</w:t>
      </w:r>
      <w:r>
        <w:rPr>
          <w:rFonts w:ascii="Times New Roman" w:hAnsi="Times New Roman" w:cs="Times New Roman"/>
          <w:sz w:val="24"/>
        </w:rPr>
        <w:t xml:space="preserve">. Carrying out discussions with the employees through the course of the performance cycle by doing things such as mentoring the employees, provision of feedback and assessments and coaching. HR experts have given the assertions that organizations that have focused on continuous and regular performance management have always achieved better business results. In this view, it is usually argued that organizations that review the performance goals of their employees regularly and frequently have more input derived from the employees.  </w:t>
      </w:r>
    </w:p>
    <w:p w:rsid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process is usually accompanied by a more efficient review process of the roles assigned to each employee. The achievement of better results due to the reviews makes it an advantageous mechanism to conduct regular reviews as opposed to a </w:t>
      </w:r>
      <w:proofErr w:type="gramStart"/>
      <w:r>
        <w:rPr>
          <w:rFonts w:ascii="Times New Roman" w:hAnsi="Times New Roman" w:cs="Times New Roman"/>
          <w:sz w:val="24"/>
        </w:rPr>
        <w:t>one time</w:t>
      </w:r>
      <w:proofErr w:type="gramEnd"/>
      <w:r>
        <w:rPr>
          <w:rFonts w:ascii="Times New Roman" w:hAnsi="Times New Roman" w:cs="Times New Roman"/>
          <w:sz w:val="24"/>
        </w:rPr>
        <w:t xml:space="preserve"> review. While trying to build an empowered and more efficient workforce within an organization, regular and frequent reviews focused on support and improvements would ensure an improvement in employee achievements and output. (Kanika et al. 2018)</w:t>
      </w:r>
    </w:p>
    <w:p w:rsidR="004E02AE" w:rsidRDefault="00213004" w:rsidP="004E02AE">
      <w:pPr>
        <w:spacing w:line="480" w:lineRule="auto"/>
        <w:jc w:val="both"/>
        <w:rPr>
          <w:rFonts w:ascii="Times New Roman" w:hAnsi="Times New Roman" w:cs="Times New Roman"/>
          <w:sz w:val="24"/>
        </w:rPr>
      </w:pPr>
      <w:r>
        <w:rPr>
          <w:rFonts w:ascii="Times New Roman" w:hAnsi="Times New Roman" w:cs="Times New Roman"/>
          <w:sz w:val="24"/>
        </w:rPr>
        <w:t>Performance reviews over some time have been linked to some of the beneficial reasons as outlined below;</w:t>
      </w:r>
    </w:p>
    <w:p w:rsidR="004E02AE" w:rsidRPr="004E02AE" w:rsidRDefault="00213004" w:rsidP="004E02AE">
      <w:pPr>
        <w:spacing w:line="480" w:lineRule="auto"/>
        <w:jc w:val="center"/>
        <w:rPr>
          <w:rFonts w:ascii="Times New Roman" w:hAnsi="Times New Roman" w:cs="Times New Roman"/>
          <w:b/>
          <w:sz w:val="24"/>
        </w:rPr>
      </w:pPr>
      <w:r w:rsidRPr="004E02AE">
        <w:rPr>
          <w:rFonts w:ascii="Times New Roman" w:hAnsi="Times New Roman" w:cs="Times New Roman"/>
          <w:b/>
          <w:sz w:val="24"/>
        </w:rPr>
        <w:t>Setting of goals</w:t>
      </w:r>
    </w:p>
    <w:p w:rsid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Regular reviews are usually accompanied by goal setting and revising of goals, every employee gets a clear understanding of whatever they are required to undertake.</w:t>
      </w:r>
    </w:p>
    <w:p w:rsidR="004E02AE" w:rsidRDefault="00213004" w:rsidP="004E02AE">
      <w:pPr>
        <w:spacing w:line="480" w:lineRule="auto"/>
        <w:jc w:val="both"/>
        <w:rPr>
          <w:rFonts w:ascii="Times New Roman" w:hAnsi="Times New Roman" w:cs="Times New Roman"/>
          <w:sz w:val="24"/>
        </w:rPr>
      </w:pPr>
      <w:r>
        <w:rPr>
          <w:rFonts w:ascii="Times New Roman" w:hAnsi="Times New Roman" w:cs="Times New Roman"/>
          <w:sz w:val="24"/>
        </w:rPr>
        <w:lastRenderedPageBreak/>
        <w:t>The activity also provides a friendly context through which employees can understand the regions and areas in which they can comfortably fit in. the ability of employees to understand the goals of the organization enables them to work towards the overall success of the company.</w:t>
      </w:r>
    </w:p>
    <w:p w:rsidR="004E02AE" w:rsidRPr="004E02AE" w:rsidRDefault="00213004" w:rsidP="004E02AE">
      <w:pPr>
        <w:spacing w:line="480" w:lineRule="auto"/>
        <w:jc w:val="center"/>
        <w:rPr>
          <w:rFonts w:ascii="Times New Roman" w:hAnsi="Times New Roman" w:cs="Times New Roman"/>
          <w:b/>
          <w:sz w:val="24"/>
        </w:rPr>
      </w:pPr>
      <w:r w:rsidRPr="004E02AE">
        <w:rPr>
          <w:rFonts w:ascii="Times New Roman" w:hAnsi="Times New Roman" w:cs="Times New Roman"/>
          <w:b/>
          <w:sz w:val="24"/>
        </w:rPr>
        <w:t>Management</w:t>
      </w:r>
    </w:p>
    <w:p w:rsid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Performance reviews over time have also been found to help identify the gaps that may be within the already set goals. In some occasions, the employees may not realize or rather identify the gaps by themselves but through the reviews, the gaps are usually identified and necessary adjustments are made. The overall effect is usually an improved performance of the employees as their work morale is usually boosted through the encouragements.</w:t>
      </w:r>
    </w:p>
    <w:p w:rsidR="004E02AE" w:rsidRDefault="004E02AE" w:rsidP="004E02AE">
      <w:pPr>
        <w:spacing w:line="480" w:lineRule="auto"/>
        <w:ind w:firstLine="720"/>
        <w:jc w:val="both"/>
        <w:rPr>
          <w:rFonts w:ascii="Times New Roman" w:hAnsi="Times New Roman" w:cs="Times New Roman"/>
          <w:sz w:val="24"/>
        </w:rPr>
      </w:pPr>
    </w:p>
    <w:p w:rsidR="004E02AE" w:rsidRPr="004E02AE" w:rsidRDefault="00213004" w:rsidP="004E02AE">
      <w:pPr>
        <w:spacing w:line="480" w:lineRule="auto"/>
        <w:ind w:firstLine="720"/>
        <w:jc w:val="center"/>
        <w:rPr>
          <w:rFonts w:ascii="Times New Roman" w:hAnsi="Times New Roman" w:cs="Times New Roman"/>
          <w:b/>
          <w:sz w:val="24"/>
        </w:rPr>
      </w:pPr>
      <w:r w:rsidRPr="004E02AE">
        <w:rPr>
          <w:rFonts w:ascii="Times New Roman" w:hAnsi="Times New Roman" w:cs="Times New Roman"/>
          <w:b/>
          <w:sz w:val="24"/>
        </w:rPr>
        <w:t>The cycle of performance management review</w:t>
      </w:r>
    </w:p>
    <w:p w:rsidR="00F714EC" w:rsidRDefault="00213004" w:rsidP="00F714EC">
      <w:pPr>
        <w:spacing w:line="480" w:lineRule="auto"/>
        <w:ind w:firstLine="720"/>
        <w:jc w:val="both"/>
        <w:rPr>
          <w:rFonts w:ascii="Times New Roman" w:hAnsi="Times New Roman" w:cs="Times New Roman"/>
          <w:sz w:val="24"/>
        </w:rPr>
      </w:pPr>
      <w:r>
        <w:rPr>
          <w:rFonts w:ascii="Times New Roman" w:hAnsi="Times New Roman" w:cs="Times New Roman"/>
          <w:sz w:val="24"/>
        </w:rPr>
        <w:t>From my point of view, I suggest either a formal or informal reviews for the employees' performance that can be done at least twice a year. If possible, the reviews can usually be done after every 3 months. I believe this would ensure that the employees stay within the provided organizational guidelines for operations. Within this period, the employees and the HR managers involved can always modify or rather improve on some of the areas because of a better and improved performance. Within this review cycles, employees are usually able to handle short term commitments that they deliver and accomplish within the time frames.</w:t>
      </w:r>
    </w:p>
    <w:p w:rsidR="00F714EC" w:rsidRDefault="00F714EC" w:rsidP="00F714EC">
      <w:pPr>
        <w:spacing w:line="480" w:lineRule="auto"/>
        <w:ind w:firstLine="720"/>
        <w:jc w:val="both"/>
        <w:rPr>
          <w:rFonts w:ascii="Times New Roman" w:hAnsi="Times New Roman" w:cs="Times New Roman"/>
          <w:sz w:val="24"/>
        </w:rPr>
      </w:pPr>
    </w:p>
    <w:p w:rsidR="004E02AE" w:rsidRPr="004E02AE" w:rsidRDefault="00213004" w:rsidP="00F714EC">
      <w:pPr>
        <w:spacing w:line="480" w:lineRule="auto"/>
        <w:ind w:firstLine="720"/>
        <w:jc w:val="both"/>
        <w:rPr>
          <w:rFonts w:ascii="Times New Roman" w:hAnsi="Times New Roman" w:cs="Times New Roman"/>
          <w:b/>
          <w:sz w:val="24"/>
        </w:rPr>
      </w:pPr>
      <w:r w:rsidRPr="004E02AE">
        <w:rPr>
          <w:rFonts w:ascii="Times New Roman" w:hAnsi="Times New Roman" w:cs="Times New Roman"/>
          <w:b/>
          <w:sz w:val="24"/>
        </w:rPr>
        <w:lastRenderedPageBreak/>
        <w:t>Factors that can influence individual performance and impact an individual’s performance</w:t>
      </w:r>
    </w:p>
    <w:p w:rsid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performance of employees can usually be affected by various factors some of which include; personal </w:t>
      </w:r>
      <w:r w:rsidR="00F714EC">
        <w:rPr>
          <w:rFonts w:ascii="Times New Roman" w:hAnsi="Times New Roman" w:cs="Times New Roman"/>
          <w:sz w:val="24"/>
        </w:rPr>
        <w:t>behaviors</w:t>
      </w:r>
      <w:r>
        <w:rPr>
          <w:rFonts w:ascii="Times New Roman" w:hAnsi="Times New Roman" w:cs="Times New Roman"/>
          <w:sz w:val="24"/>
        </w:rPr>
        <w:t xml:space="preserve"> and how individuals view their jobs, the number of wages and income involved rewards and incentives for better performers and workplace environment.</w:t>
      </w:r>
    </w:p>
    <w:p w:rsidR="004E02AE" w:rsidRDefault="004E02AE" w:rsidP="004E02AE">
      <w:pPr>
        <w:spacing w:line="480" w:lineRule="auto"/>
        <w:jc w:val="both"/>
        <w:rPr>
          <w:rFonts w:ascii="Times New Roman" w:hAnsi="Times New Roman" w:cs="Times New Roman"/>
          <w:b/>
          <w:sz w:val="24"/>
        </w:rPr>
      </w:pPr>
    </w:p>
    <w:p w:rsidR="004E02AE" w:rsidRPr="004E02AE" w:rsidRDefault="00213004" w:rsidP="004E02AE">
      <w:pPr>
        <w:spacing w:line="480" w:lineRule="auto"/>
        <w:jc w:val="both"/>
        <w:rPr>
          <w:rFonts w:ascii="Times New Roman" w:hAnsi="Times New Roman" w:cs="Times New Roman"/>
          <w:b/>
          <w:sz w:val="24"/>
        </w:rPr>
      </w:pPr>
      <w:r w:rsidRPr="004E02AE">
        <w:rPr>
          <w:rFonts w:ascii="Times New Roman" w:hAnsi="Times New Roman" w:cs="Times New Roman"/>
          <w:b/>
          <w:sz w:val="24"/>
        </w:rPr>
        <w:t xml:space="preserve">Personal </w:t>
      </w:r>
      <w:r w:rsidR="00F714EC" w:rsidRPr="004E02AE">
        <w:rPr>
          <w:rFonts w:ascii="Times New Roman" w:hAnsi="Times New Roman" w:cs="Times New Roman"/>
          <w:b/>
          <w:sz w:val="24"/>
        </w:rPr>
        <w:t>behaviors</w:t>
      </w:r>
    </w:p>
    <w:p w:rsidR="004E02AE" w:rsidRP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Personal attributes held by a person have been found to play important roles in the overall work output of individuals. Personal </w:t>
      </w:r>
      <w:r w:rsidR="00F714EC">
        <w:rPr>
          <w:rFonts w:ascii="Times New Roman" w:hAnsi="Times New Roman" w:cs="Times New Roman"/>
          <w:sz w:val="24"/>
        </w:rPr>
        <w:t>behaviors</w:t>
      </w:r>
      <w:bookmarkStart w:id="0" w:name="_GoBack"/>
      <w:bookmarkEnd w:id="0"/>
      <w:r>
        <w:rPr>
          <w:rFonts w:ascii="Times New Roman" w:hAnsi="Times New Roman" w:cs="Times New Roman"/>
          <w:sz w:val="24"/>
        </w:rPr>
        <w:t xml:space="preserve"> can always change depending on the conditions of work coupled by the time one has spent in a particular profession. Individuals possessing high and effective skills with enough training can perform better within the period of reviews unlike those who are not well trained.</w:t>
      </w:r>
    </w:p>
    <w:p w:rsidR="004E02AE" w:rsidRPr="004E02AE" w:rsidRDefault="00213004" w:rsidP="004E02AE">
      <w:pPr>
        <w:spacing w:line="480" w:lineRule="auto"/>
        <w:rPr>
          <w:rFonts w:ascii="Times New Roman" w:hAnsi="Times New Roman" w:cs="Times New Roman"/>
          <w:b/>
          <w:sz w:val="24"/>
        </w:rPr>
      </w:pPr>
      <w:r w:rsidRPr="004E02AE">
        <w:rPr>
          <w:rFonts w:ascii="Times New Roman" w:hAnsi="Times New Roman" w:cs="Times New Roman"/>
          <w:b/>
          <w:sz w:val="24"/>
        </w:rPr>
        <w:t>Incomes and wages</w:t>
      </w:r>
    </w:p>
    <w:p w:rsid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The financial reward system involved will influence how individuals react while carrying out organizational goals. Groen et al (2012) argue that the practice of fair and equitable timely pay of employees enhances the employees' perception towards the organization and will, in turn, strive to work towards the attainment of the goals unlike in companies where the principle of equality is not applied. Better incomes and wages motivate employees to perform and be productive within the review cycle.</w:t>
      </w:r>
    </w:p>
    <w:p w:rsidR="004E02AE" w:rsidRDefault="004E02AE" w:rsidP="004E02AE">
      <w:pPr>
        <w:spacing w:line="480" w:lineRule="auto"/>
        <w:jc w:val="center"/>
        <w:rPr>
          <w:rFonts w:ascii="Times New Roman" w:hAnsi="Times New Roman" w:cs="Times New Roman"/>
          <w:b/>
          <w:sz w:val="24"/>
        </w:rPr>
      </w:pPr>
    </w:p>
    <w:p w:rsidR="004E02AE" w:rsidRDefault="004E02AE" w:rsidP="004E02AE">
      <w:pPr>
        <w:spacing w:line="480" w:lineRule="auto"/>
        <w:jc w:val="center"/>
        <w:rPr>
          <w:rFonts w:ascii="Times New Roman" w:hAnsi="Times New Roman" w:cs="Times New Roman"/>
          <w:b/>
          <w:sz w:val="24"/>
        </w:rPr>
      </w:pPr>
    </w:p>
    <w:p w:rsidR="004E02AE" w:rsidRPr="004E02AE" w:rsidRDefault="00213004" w:rsidP="004E02AE">
      <w:pPr>
        <w:spacing w:line="480" w:lineRule="auto"/>
        <w:jc w:val="center"/>
        <w:rPr>
          <w:rFonts w:ascii="Times New Roman" w:hAnsi="Times New Roman" w:cs="Times New Roman"/>
          <w:b/>
          <w:sz w:val="24"/>
        </w:rPr>
      </w:pPr>
      <w:r w:rsidRPr="004E02AE">
        <w:rPr>
          <w:rFonts w:ascii="Times New Roman" w:hAnsi="Times New Roman" w:cs="Times New Roman"/>
          <w:b/>
          <w:sz w:val="24"/>
        </w:rPr>
        <w:t>Rewards and incentives</w:t>
      </w:r>
    </w:p>
    <w:p w:rsidR="004E02AE" w:rsidRP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Better performing employees are usually rewarded; a move that is usually viewed as a strong management tool for human resources. Groen et al. (2012) suggest that employers must ensure that reasonable perks are set aside for well-performing employees otherwise they would be demoralized to work since their hard work is not recognized. Some scholars have as well argued that the incentives have attracted high performing individuals.</w:t>
      </w:r>
    </w:p>
    <w:p w:rsidR="004E02AE" w:rsidRPr="004E02AE" w:rsidRDefault="00213004" w:rsidP="004E02AE">
      <w:pPr>
        <w:spacing w:line="480" w:lineRule="auto"/>
        <w:jc w:val="center"/>
        <w:rPr>
          <w:rFonts w:ascii="Times New Roman" w:hAnsi="Times New Roman" w:cs="Times New Roman"/>
          <w:b/>
          <w:sz w:val="24"/>
        </w:rPr>
      </w:pPr>
      <w:r w:rsidRPr="004E02AE">
        <w:rPr>
          <w:rFonts w:ascii="Times New Roman" w:hAnsi="Times New Roman" w:cs="Times New Roman"/>
          <w:b/>
          <w:sz w:val="24"/>
        </w:rPr>
        <w:t>Workplace environment</w:t>
      </w:r>
    </w:p>
    <w:p w:rsidR="004E02AE" w:rsidRP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Groen et al. (2012) state that the environment in which people work affects the way they work either positively or negatively. He identified factors such as noise level, office dimensions and general layout, temperature and accessibility. Employees require a supportive environment and environmental comfort while carrying out their duties. Failure to provide this usually results in health and security concerns in the workplace among the employees which may affect the realization of the goals within the review cycles.</w:t>
      </w:r>
    </w:p>
    <w:p w:rsidR="004E02AE" w:rsidRPr="004E02AE" w:rsidRDefault="00213004" w:rsidP="004E02AE">
      <w:pPr>
        <w:spacing w:line="480" w:lineRule="auto"/>
        <w:jc w:val="center"/>
        <w:rPr>
          <w:rFonts w:ascii="Times New Roman" w:hAnsi="Times New Roman" w:cs="Times New Roman"/>
          <w:b/>
          <w:sz w:val="24"/>
        </w:rPr>
      </w:pPr>
      <w:r w:rsidRPr="004E02AE">
        <w:rPr>
          <w:rFonts w:ascii="Times New Roman" w:hAnsi="Times New Roman" w:cs="Times New Roman"/>
          <w:b/>
          <w:sz w:val="24"/>
        </w:rPr>
        <w:t>Strategies to prevent the derailing of individual performance</w:t>
      </w:r>
    </w:p>
    <w:p w:rsidR="004E02AE" w:rsidRDefault="00213004" w:rsidP="004E02AE">
      <w:pPr>
        <w:spacing w:line="480" w:lineRule="auto"/>
        <w:jc w:val="both"/>
        <w:rPr>
          <w:rFonts w:ascii="Times New Roman" w:hAnsi="Times New Roman" w:cs="Times New Roman"/>
          <w:sz w:val="24"/>
        </w:rPr>
      </w:pPr>
      <w:r>
        <w:rPr>
          <w:rFonts w:ascii="Times New Roman" w:hAnsi="Times New Roman" w:cs="Times New Roman"/>
          <w:sz w:val="24"/>
        </w:rPr>
        <w:t>To ensure that the performance of the employees is maintained or rather to ensure the performance does not miss out of its target, employers and HR managers need to put in place some strategies some of which include;</w:t>
      </w:r>
    </w:p>
    <w:p w:rsidR="004E02AE" w:rsidRDefault="00213004" w:rsidP="004E02AE">
      <w:pPr>
        <w:spacing w:line="480" w:lineRule="auto"/>
        <w:jc w:val="both"/>
        <w:rPr>
          <w:rFonts w:ascii="Times New Roman" w:hAnsi="Times New Roman" w:cs="Times New Roman"/>
          <w:sz w:val="24"/>
        </w:rPr>
      </w:pPr>
      <w:r>
        <w:rPr>
          <w:rFonts w:ascii="Times New Roman" w:hAnsi="Times New Roman" w:cs="Times New Roman"/>
          <w:sz w:val="24"/>
        </w:rPr>
        <w:lastRenderedPageBreak/>
        <w:t xml:space="preserve">Frequent and often communication is a strategy that has been found to positively impact on employee morale. Constant engagement with the staff and asking questions about how they are </w:t>
      </w:r>
      <w:r w:rsidR="001D0CF7">
        <w:rPr>
          <w:rFonts w:ascii="Times New Roman" w:hAnsi="Times New Roman" w:cs="Times New Roman"/>
          <w:sz w:val="24"/>
        </w:rPr>
        <w:t>faring</w:t>
      </w:r>
      <w:r>
        <w:rPr>
          <w:rFonts w:ascii="Times New Roman" w:hAnsi="Times New Roman" w:cs="Times New Roman"/>
          <w:sz w:val="24"/>
        </w:rPr>
        <w:t xml:space="preserve"> on would let them know that their opinions also matter </w:t>
      </w:r>
    </w:p>
    <w:p w:rsidR="004E02AE" w:rsidRPr="004E02AE" w:rsidRDefault="00213004" w:rsidP="004E02AE">
      <w:pPr>
        <w:spacing w:line="480" w:lineRule="auto"/>
        <w:jc w:val="both"/>
        <w:rPr>
          <w:rFonts w:ascii="Times New Roman" w:hAnsi="Times New Roman" w:cs="Times New Roman"/>
          <w:b/>
          <w:sz w:val="24"/>
        </w:rPr>
      </w:pPr>
      <w:r w:rsidRPr="004E02AE">
        <w:rPr>
          <w:rFonts w:ascii="Times New Roman" w:hAnsi="Times New Roman" w:cs="Times New Roman"/>
          <w:b/>
          <w:sz w:val="24"/>
        </w:rPr>
        <w:t xml:space="preserve">Recognize the good </w:t>
      </w:r>
    </w:p>
    <w:p w:rsidR="004E02AE" w:rsidRDefault="00213004" w:rsidP="004E02AE">
      <w:pPr>
        <w:spacing w:line="480" w:lineRule="auto"/>
        <w:jc w:val="both"/>
        <w:rPr>
          <w:rFonts w:ascii="Times New Roman" w:hAnsi="Times New Roman" w:cs="Times New Roman"/>
          <w:sz w:val="24"/>
        </w:rPr>
      </w:pPr>
      <w:r>
        <w:rPr>
          <w:rFonts w:ascii="Times New Roman" w:hAnsi="Times New Roman" w:cs="Times New Roman"/>
          <w:sz w:val="24"/>
        </w:rPr>
        <w:t>It is usually advisable to consider and recognize the good things that people do for us. In this case, it's important to recognize and show appreciation for the good thing the employees are doing.</w:t>
      </w:r>
    </w:p>
    <w:p w:rsidR="004E02AE" w:rsidRDefault="00213004" w:rsidP="004E02AE">
      <w:pPr>
        <w:spacing w:line="480" w:lineRule="auto"/>
        <w:jc w:val="both"/>
        <w:rPr>
          <w:rFonts w:ascii="Times New Roman" w:hAnsi="Times New Roman" w:cs="Times New Roman"/>
          <w:sz w:val="24"/>
        </w:rPr>
      </w:pPr>
      <w:r>
        <w:rPr>
          <w:rFonts w:ascii="Times New Roman" w:hAnsi="Times New Roman" w:cs="Times New Roman"/>
          <w:sz w:val="24"/>
        </w:rPr>
        <w:t xml:space="preserve"> This would make them feel valued and not to lose focus on the way. They will subsequently feel that their efforts are being recognized hence they would focus more on their work. (Herman 2011)</w:t>
      </w:r>
    </w:p>
    <w:p w:rsidR="004E02AE" w:rsidRPr="004E02AE" w:rsidRDefault="00213004" w:rsidP="004E02AE">
      <w:pPr>
        <w:spacing w:line="480" w:lineRule="auto"/>
        <w:jc w:val="center"/>
        <w:rPr>
          <w:rFonts w:ascii="Times New Roman" w:hAnsi="Times New Roman" w:cs="Times New Roman"/>
          <w:b/>
          <w:sz w:val="24"/>
        </w:rPr>
      </w:pPr>
      <w:r w:rsidRPr="004E02AE">
        <w:rPr>
          <w:rFonts w:ascii="Times New Roman" w:hAnsi="Times New Roman" w:cs="Times New Roman"/>
          <w:b/>
          <w:sz w:val="24"/>
        </w:rPr>
        <w:t>Conclusions</w:t>
      </w:r>
    </w:p>
    <w:p w:rsidR="004E02AE" w:rsidRDefault="00213004" w:rsidP="004E02AE">
      <w:pPr>
        <w:spacing w:line="480" w:lineRule="auto"/>
        <w:ind w:firstLine="720"/>
        <w:jc w:val="both"/>
        <w:rPr>
          <w:rFonts w:ascii="Times New Roman" w:hAnsi="Times New Roman" w:cs="Times New Roman"/>
          <w:sz w:val="24"/>
        </w:rPr>
      </w:pPr>
      <w:r>
        <w:rPr>
          <w:rFonts w:ascii="Times New Roman" w:hAnsi="Times New Roman" w:cs="Times New Roman"/>
          <w:sz w:val="24"/>
        </w:rPr>
        <w:t>Individual performance management as a process has been found to help in boosting employee engagement and performance. Employees that are more engaged with their employers always stay longer in their workplaces and usually involve themselves actively in the affairs of the organization to produce good and better output; the increased engagement is usually viewed as a key to boosting productivity among the employees.</w:t>
      </w:r>
    </w:p>
    <w:p w:rsidR="004E02AE" w:rsidRDefault="004E02AE" w:rsidP="004E02AE">
      <w:pPr>
        <w:jc w:val="both"/>
        <w:rPr>
          <w:rFonts w:ascii="Times New Roman" w:hAnsi="Times New Roman" w:cs="Times New Roman"/>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rPr>
          <w:rFonts w:ascii="Times New Roman" w:hAnsi="Times New Roman" w:cs="Times New Roman"/>
          <w:b/>
          <w:sz w:val="24"/>
        </w:rPr>
      </w:pPr>
    </w:p>
    <w:p w:rsidR="004E02AE" w:rsidRPr="004E02AE" w:rsidRDefault="00213004" w:rsidP="004E02AE">
      <w:pPr>
        <w:jc w:val="center"/>
        <w:rPr>
          <w:rFonts w:ascii="Times New Roman" w:hAnsi="Times New Roman" w:cs="Times New Roman"/>
          <w:b/>
          <w:sz w:val="24"/>
        </w:rPr>
      </w:pPr>
      <w:r w:rsidRPr="004E02AE">
        <w:rPr>
          <w:rFonts w:ascii="Times New Roman" w:hAnsi="Times New Roman" w:cs="Times New Roman"/>
          <w:b/>
          <w:sz w:val="24"/>
        </w:rPr>
        <w:t>References</w:t>
      </w:r>
    </w:p>
    <w:p w:rsidR="004E02AE" w:rsidRPr="004E02AE" w:rsidRDefault="00213004" w:rsidP="004E02AE">
      <w:pPr>
        <w:spacing w:after="0" w:line="480" w:lineRule="auto"/>
        <w:ind w:left="720" w:hanging="720"/>
        <w:jc w:val="both"/>
        <w:rPr>
          <w:rFonts w:ascii="Times New Roman" w:eastAsia="Times New Roman" w:hAnsi="Times New Roman" w:cs="Times New Roman"/>
          <w:sz w:val="24"/>
          <w:szCs w:val="24"/>
        </w:rPr>
      </w:pPr>
      <w:r w:rsidRPr="004E02AE">
        <w:rPr>
          <w:rFonts w:ascii="Times New Roman" w:eastAsia="Times New Roman" w:hAnsi="Times New Roman" w:cs="Times New Roman"/>
          <w:sz w:val="24"/>
          <w:szCs w:val="24"/>
        </w:rPr>
        <w:t>Aguinis, H. (2011). Organizational responsibility: Doing good and doing well.</w:t>
      </w:r>
    </w:p>
    <w:p w:rsidR="004E02AE" w:rsidRPr="004E02AE" w:rsidRDefault="00213004" w:rsidP="004E02AE">
      <w:pPr>
        <w:spacing w:line="480" w:lineRule="auto"/>
        <w:ind w:left="720" w:hanging="720"/>
        <w:jc w:val="both"/>
        <w:rPr>
          <w:rFonts w:ascii="Times New Roman" w:hAnsi="Times New Roman" w:cs="Times New Roman"/>
          <w:sz w:val="24"/>
        </w:rPr>
      </w:pPr>
      <w:r w:rsidRPr="004E02AE">
        <w:rPr>
          <w:rFonts w:ascii="Times New Roman" w:hAnsi="Times New Roman" w:cs="Times New Roman"/>
          <w:sz w:val="24"/>
        </w:rPr>
        <w:t xml:space="preserve">Groen, B. A. C., Wouters, M. J. F., &amp; Wilderom, C. P. M. (2012). Why do employees take more initiatives to improve their performance after co-developing performance measures? A field study. Management Accounting Research, 23(2), 120–141. doi:10.1016/j.mar.2012.01.001  </w:t>
      </w:r>
    </w:p>
    <w:p w:rsidR="004E02AE" w:rsidRPr="004E02AE" w:rsidRDefault="00213004" w:rsidP="004E02AE">
      <w:pPr>
        <w:spacing w:line="480" w:lineRule="auto"/>
        <w:ind w:left="720" w:hanging="720"/>
        <w:jc w:val="both"/>
        <w:rPr>
          <w:rFonts w:ascii="Times New Roman" w:hAnsi="Times New Roman" w:cs="Times New Roman"/>
          <w:sz w:val="24"/>
        </w:rPr>
      </w:pPr>
      <w:r w:rsidRPr="004E02AE">
        <w:rPr>
          <w:rFonts w:ascii="Times New Roman" w:hAnsi="Times New Roman" w:cs="Times New Roman"/>
          <w:sz w:val="24"/>
        </w:rPr>
        <w:t>Kanika, K. A., Priyanka, P., &amp; Garima, S. (2018). Performance appraisal satisfaction &amp; organizational commitment. Indian Journal of Industrial Relations, 53(4), 675–692</w:t>
      </w:r>
    </w:p>
    <w:p w:rsidR="004E02AE" w:rsidRDefault="004E02AE" w:rsidP="004E02AE">
      <w:pPr>
        <w:jc w:val="both"/>
        <w:rPr>
          <w:rFonts w:ascii="Times New Roman" w:hAnsi="Times New Roman" w:cs="Times New Roman"/>
          <w:sz w:val="24"/>
        </w:rPr>
      </w:pPr>
    </w:p>
    <w:p w:rsidR="004E02AE" w:rsidRDefault="004E02AE" w:rsidP="004E02AE">
      <w:pPr>
        <w:jc w:val="both"/>
        <w:rPr>
          <w:rFonts w:ascii="Times New Roman" w:hAnsi="Times New Roman" w:cs="Times New Roman"/>
          <w:sz w:val="24"/>
        </w:rPr>
      </w:pPr>
    </w:p>
    <w:p w:rsidR="004E02AE" w:rsidRDefault="004E02AE" w:rsidP="004E02AE">
      <w:pPr>
        <w:jc w:val="both"/>
        <w:rPr>
          <w:rFonts w:ascii="Times New Roman" w:hAnsi="Times New Roman" w:cs="Times New Roman"/>
          <w:sz w:val="24"/>
        </w:rPr>
      </w:pPr>
    </w:p>
    <w:p w:rsidR="004E02AE" w:rsidRDefault="004E02AE" w:rsidP="004E02AE">
      <w:pPr>
        <w:jc w:val="both"/>
        <w:rPr>
          <w:rFonts w:ascii="Times New Roman" w:hAnsi="Times New Roman" w:cs="Times New Roman"/>
          <w:sz w:val="24"/>
        </w:rPr>
      </w:pPr>
    </w:p>
    <w:p w:rsidR="004E02AE" w:rsidRDefault="004E02AE" w:rsidP="004E02AE">
      <w:pPr>
        <w:jc w:val="both"/>
        <w:rPr>
          <w:rFonts w:ascii="Times New Roman" w:hAnsi="Times New Roman" w:cs="Times New Roman"/>
          <w:sz w:val="24"/>
        </w:rPr>
      </w:pPr>
    </w:p>
    <w:p w:rsidR="004E02AE" w:rsidRDefault="004E02AE" w:rsidP="004E02AE">
      <w:pPr>
        <w:jc w:val="both"/>
        <w:rPr>
          <w:rFonts w:ascii="Times New Roman" w:hAnsi="Times New Roman" w:cs="Times New Roman"/>
          <w:sz w:val="24"/>
        </w:rPr>
      </w:pPr>
    </w:p>
    <w:p w:rsidR="004E02AE" w:rsidRDefault="004E02AE" w:rsidP="004E02AE">
      <w:pPr>
        <w:jc w:val="both"/>
        <w:rPr>
          <w:rFonts w:ascii="Times New Roman" w:hAnsi="Times New Roman" w:cs="Times New Roman"/>
          <w:sz w:val="24"/>
        </w:rPr>
      </w:pPr>
    </w:p>
    <w:p w:rsidR="004E02AE" w:rsidRDefault="004E02AE" w:rsidP="004E02AE">
      <w:pPr>
        <w:jc w:val="both"/>
        <w:rPr>
          <w:rFonts w:ascii="Times New Roman" w:hAnsi="Times New Roman" w:cs="Times New Roman"/>
          <w:sz w:val="24"/>
        </w:rPr>
      </w:pPr>
    </w:p>
    <w:p w:rsidR="004E02AE" w:rsidRDefault="004E02AE" w:rsidP="004E02AE">
      <w:pPr>
        <w:jc w:val="both"/>
        <w:rPr>
          <w:rFonts w:ascii="Times New Roman" w:hAnsi="Times New Roman" w:cs="Times New Roman"/>
          <w:sz w:val="24"/>
        </w:rPr>
      </w:pPr>
    </w:p>
    <w:p w:rsidR="004E02AE" w:rsidRDefault="004E02AE" w:rsidP="004E02AE">
      <w:pPr>
        <w:jc w:val="both"/>
        <w:rPr>
          <w:rFonts w:ascii="Times New Roman" w:hAnsi="Times New Roman" w:cs="Times New Roman"/>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Default="004E02AE" w:rsidP="004E02AE">
      <w:pPr>
        <w:jc w:val="center"/>
        <w:rPr>
          <w:rFonts w:ascii="Times New Roman" w:hAnsi="Times New Roman" w:cs="Times New Roman"/>
          <w:b/>
          <w:sz w:val="24"/>
        </w:rPr>
      </w:pPr>
    </w:p>
    <w:p w:rsidR="004E02AE" w:rsidRPr="004E02AE" w:rsidRDefault="00213004" w:rsidP="004E02AE">
      <w:pPr>
        <w:jc w:val="center"/>
        <w:rPr>
          <w:rFonts w:ascii="Times New Roman" w:hAnsi="Times New Roman" w:cs="Times New Roman"/>
          <w:b/>
          <w:sz w:val="24"/>
        </w:rPr>
      </w:pPr>
      <w:r w:rsidRPr="004E02AE">
        <w:rPr>
          <w:rFonts w:ascii="Times New Roman" w:hAnsi="Times New Roman" w:cs="Times New Roman"/>
          <w:b/>
          <w:sz w:val="24"/>
        </w:rPr>
        <w:t>Appendix</w:t>
      </w:r>
    </w:p>
    <w:p w:rsidR="004E02AE" w:rsidRPr="004E02AE" w:rsidRDefault="004E02AE" w:rsidP="004E02AE">
      <w:pPr>
        <w:jc w:val="both"/>
        <w:rPr>
          <w:rFonts w:ascii="Times New Roman" w:hAnsi="Times New Roman" w:cs="Times New Roman"/>
          <w:sz w:val="24"/>
        </w:rPr>
      </w:pPr>
    </w:p>
    <w:p w:rsidR="004E02AE" w:rsidRPr="00007B16" w:rsidRDefault="00213004" w:rsidP="00361A5D">
      <w:pPr>
        <w:jc w:val="both"/>
        <w:rPr>
          <w:rFonts w:ascii="Times New Roman" w:hAnsi="Times New Roman" w:cs="Times New Roman"/>
          <w:sz w:val="24"/>
        </w:rPr>
      </w:pPr>
      <w:r>
        <w:rPr>
          <w:rFonts w:ascii="Times New Roman" w:hAnsi="Times New Roman" w:cs="Times New Roman"/>
          <w:noProof/>
          <w:sz w:val="24"/>
        </w:rPr>
        <w:drawing>
          <wp:inline distT="0" distB="0" distL="0" distR="0">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sectPr w:rsidR="004E02AE" w:rsidRPr="00007B16" w:rsidSect="004E02A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1E3" w:rsidRDefault="00EE31E3">
      <w:pPr>
        <w:spacing w:after="0" w:line="240" w:lineRule="auto"/>
      </w:pPr>
      <w:r>
        <w:separator/>
      </w:r>
    </w:p>
  </w:endnote>
  <w:endnote w:type="continuationSeparator" w:id="0">
    <w:p w:rsidR="00EE31E3" w:rsidRDefault="00EE3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1E3" w:rsidRDefault="00EE31E3">
      <w:pPr>
        <w:spacing w:after="0" w:line="240" w:lineRule="auto"/>
      </w:pPr>
      <w:r>
        <w:separator/>
      </w:r>
    </w:p>
  </w:footnote>
  <w:footnote w:type="continuationSeparator" w:id="0">
    <w:p w:rsidR="00EE31E3" w:rsidRDefault="00EE3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60519"/>
      <w:docPartObj>
        <w:docPartGallery w:val="Page Numbers (Top of Page)"/>
        <w:docPartUnique/>
      </w:docPartObj>
    </w:sdtPr>
    <w:sdtEndPr/>
    <w:sdtContent>
      <w:p w:rsidR="004E02AE" w:rsidRPr="004E02AE" w:rsidRDefault="00213004" w:rsidP="004E02AE">
        <w:pPr>
          <w:pStyle w:val="Header"/>
          <w:rPr>
            <w:rFonts w:ascii="Times New Roman" w:hAnsi="Times New Roman" w:cs="Times New Roman"/>
            <w:sz w:val="24"/>
          </w:rPr>
        </w:pPr>
        <w:r w:rsidRPr="004E02AE">
          <w:rPr>
            <w:rFonts w:ascii="Times New Roman" w:hAnsi="Times New Roman" w:cs="Times New Roman"/>
            <w:sz w:val="24"/>
          </w:rPr>
          <w:t>PERFORMANCE MANAGEMENT</w:t>
        </w:r>
      </w:p>
      <w:p w:rsidR="004E02AE" w:rsidRPr="004E02AE" w:rsidRDefault="004E02AE" w:rsidP="004E02AE">
        <w:pPr>
          <w:pStyle w:val="Header"/>
          <w:rPr>
            <w:rFonts w:ascii="Times New Roman" w:hAnsi="Times New Roman" w:cs="Times New Roman"/>
            <w:sz w:val="24"/>
          </w:rPr>
        </w:pPr>
      </w:p>
      <w:p w:rsidR="004E02AE" w:rsidRDefault="00213004">
        <w:pPr>
          <w:pStyle w:val="Header"/>
          <w:jc w:val="right"/>
        </w:pPr>
        <w:r>
          <w:fldChar w:fldCharType="begin"/>
        </w:r>
        <w:r>
          <w:instrText xml:space="preserve"> PAGE   \* MERGEFORMAT </w:instrText>
        </w:r>
        <w:r>
          <w:fldChar w:fldCharType="separate"/>
        </w:r>
        <w:r w:rsidR="00F714EC">
          <w:rPr>
            <w:noProof/>
          </w:rPr>
          <w:t>2</w:t>
        </w:r>
        <w:r>
          <w:rPr>
            <w:noProof/>
          </w:rPr>
          <w:fldChar w:fldCharType="end"/>
        </w:r>
      </w:p>
    </w:sdtContent>
  </w:sdt>
  <w:p w:rsidR="004E02AE" w:rsidRDefault="004E02A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60517"/>
      <w:docPartObj>
        <w:docPartGallery w:val="Page Numbers (Top of Page)"/>
        <w:docPartUnique/>
      </w:docPartObj>
    </w:sdtPr>
    <w:sdtEndPr/>
    <w:sdtContent>
      <w:p w:rsidR="004E02AE" w:rsidRPr="004E02AE" w:rsidRDefault="00213004" w:rsidP="004E02AE">
        <w:pPr>
          <w:pStyle w:val="Header"/>
          <w:rPr>
            <w:rFonts w:ascii="Times New Roman" w:hAnsi="Times New Roman" w:cs="Times New Roman"/>
            <w:sz w:val="24"/>
          </w:rPr>
        </w:pPr>
        <w:r w:rsidRPr="004E02AE">
          <w:rPr>
            <w:rFonts w:ascii="Times New Roman" w:hAnsi="Times New Roman" w:cs="Times New Roman"/>
            <w:sz w:val="24"/>
          </w:rPr>
          <w:t>Running head: PERFORMANCE MANAGEMENT</w:t>
        </w:r>
      </w:p>
      <w:p w:rsidR="004E02AE" w:rsidRPr="004E02AE" w:rsidRDefault="004E02AE" w:rsidP="004E02AE">
        <w:pPr>
          <w:pStyle w:val="Header"/>
          <w:rPr>
            <w:rFonts w:ascii="Times New Roman" w:hAnsi="Times New Roman" w:cs="Times New Roman"/>
            <w:sz w:val="24"/>
          </w:rPr>
        </w:pPr>
      </w:p>
      <w:p w:rsidR="004E02AE" w:rsidRDefault="00213004">
        <w:pPr>
          <w:pStyle w:val="Header"/>
          <w:jc w:val="right"/>
        </w:pPr>
        <w:r>
          <w:fldChar w:fldCharType="begin"/>
        </w:r>
        <w:r>
          <w:instrText xml:space="preserve"> PAGE   \* MERGEFORMAT </w:instrText>
        </w:r>
        <w:r>
          <w:fldChar w:fldCharType="separate"/>
        </w:r>
        <w:r w:rsidR="00F714EC">
          <w:rPr>
            <w:noProof/>
          </w:rPr>
          <w:t>1</w:t>
        </w:r>
        <w:r>
          <w:rPr>
            <w:noProof/>
          </w:rPr>
          <w:fldChar w:fldCharType="end"/>
        </w:r>
      </w:p>
    </w:sdtContent>
  </w:sdt>
  <w:p w:rsidR="004E02AE" w:rsidRDefault="004E0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72"/>
    <w:rsid w:val="00007B16"/>
    <w:rsid w:val="000954C9"/>
    <w:rsid w:val="000B6F5A"/>
    <w:rsid w:val="000F6A85"/>
    <w:rsid w:val="001D0CF7"/>
    <w:rsid w:val="00213004"/>
    <w:rsid w:val="002D1A9C"/>
    <w:rsid w:val="00361A5D"/>
    <w:rsid w:val="003D4572"/>
    <w:rsid w:val="004E02AE"/>
    <w:rsid w:val="006F0489"/>
    <w:rsid w:val="00CE2B3A"/>
    <w:rsid w:val="00EE31E3"/>
    <w:rsid w:val="00F2472C"/>
    <w:rsid w:val="00F71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78D8F"/>
  <w15:docId w15:val="{7CDABD2F-7FD6-4B29-AFC8-3705A367E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7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0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02AE"/>
    <w:rPr>
      <w:rFonts w:ascii="Tahoma" w:hAnsi="Tahoma" w:cs="Tahoma"/>
      <w:sz w:val="16"/>
      <w:szCs w:val="16"/>
    </w:rPr>
  </w:style>
  <w:style w:type="paragraph" w:styleId="Header">
    <w:name w:val="header"/>
    <w:basedOn w:val="Normal"/>
    <w:link w:val="HeaderChar"/>
    <w:uiPriority w:val="99"/>
    <w:unhideWhenUsed/>
    <w:rsid w:val="004E0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2AE"/>
  </w:style>
  <w:style w:type="paragraph" w:styleId="Footer">
    <w:name w:val="footer"/>
    <w:basedOn w:val="Normal"/>
    <w:link w:val="FooterChar"/>
    <w:uiPriority w:val="99"/>
    <w:semiHidden/>
    <w:unhideWhenUsed/>
    <w:rsid w:val="004E02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0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D6BDA0-9AFF-4A19-BDD1-154DC2AB3370}" type="doc">
      <dgm:prSet loTypeId="urn:microsoft.com/office/officeart/2005/8/layout/cycle6#1" loCatId="cycle" qsTypeId="urn:microsoft.com/office/officeart/2005/8/quickstyle/simple1" qsCatId="simple" csTypeId="urn:microsoft.com/office/officeart/2005/8/colors/accent1_2" csCatId="accent1" phldr="1"/>
      <dgm:spPr/>
      <dgm:t>
        <a:bodyPr/>
        <a:lstStyle/>
        <a:p>
          <a:endParaRPr lang="en-US"/>
        </a:p>
      </dgm:t>
    </dgm:pt>
    <dgm:pt modelId="{856F3C3C-6960-4FA6-AA73-8F865DC0979E}">
      <dgm:prSet phldrT="[Text]"/>
      <dgm:spPr/>
      <dgm:t>
        <a:bodyPr/>
        <a:lstStyle/>
        <a:p>
          <a:r>
            <a:rPr lang="en-US"/>
            <a:t>Organizational goals and objectives</a:t>
          </a:r>
        </a:p>
      </dgm:t>
    </dgm:pt>
    <dgm:pt modelId="{45120C70-FC94-4874-A5D9-894B5E5DE51A}" type="parTrans" cxnId="{543C834C-554C-4F15-9F1B-1A84190CA58C}">
      <dgm:prSet/>
      <dgm:spPr/>
      <dgm:t>
        <a:bodyPr/>
        <a:lstStyle/>
        <a:p>
          <a:endParaRPr lang="en-US"/>
        </a:p>
      </dgm:t>
    </dgm:pt>
    <dgm:pt modelId="{718983DC-64F9-4AA2-BBAC-6D171C500ACE}" type="sibTrans" cxnId="{543C834C-554C-4F15-9F1B-1A84190CA58C}">
      <dgm:prSet/>
      <dgm:spPr/>
      <dgm:t>
        <a:bodyPr/>
        <a:lstStyle/>
        <a:p>
          <a:endParaRPr lang="en-US"/>
        </a:p>
      </dgm:t>
    </dgm:pt>
    <dgm:pt modelId="{62291946-3C6B-4A37-B3DF-8F09E31EDBC5}">
      <dgm:prSet phldrT="[Text]"/>
      <dgm:spPr/>
      <dgm:t>
        <a:bodyPr/>
        <a:lstStyle/>
        <a:p>
          <a:r>
            <a:rPr lang="en-US"/>
            <a:t>setting SMART objectives </a:t>
          </a:r>
        </a:p>
      </dgm:t>
    </dgm:pt>
    <dgm:pt modelId="{0E7FEAFE-B24E-4CF9-850D-E4CA808A5087}" type="parTrans" cxnId="{78CC7424-DE7C-4D92-8AB9-E551369F2119}">
      <dgm:prSet/>
      <dgm:spPr/>
      <dgm:t>
        <a:bodyPr/>
        <a:lstStyle/>
        <a:p>
          <a:endParaRPr lang="en-US"/>
        </a:p>
      </dgm:t>
    </dgm:pt>
    <dgm:pt modelId="{6AD1EEEB-E3E0-474B-9583-6D301D7BE197}" type="sibTrans" cxnId="{78CC7424-DE7C-4D92-8AB9-E551369F2119}">
      <dgm:prSet/>
      <dgm:spPr/>
      <dgm:t>
        <a:bodyPr/>
        <a:lstStyle/>
        <a:p>
          <a:endParaRPr lang="en-US"/>
        </a:p>
      </dgm:t>
    </dgm:pt>
    <dgm:pt modelId="{71118C6E-E84E-4CF8-B444-0A773AB663ED}">
      <dgm:prSet phldrT="[Text]"/>
      <dgm:spPr/>
      <dgm:t>
        <a:bodyPr/>
        <a:lstStyle/>
        <a:p>
          <a:r>
            <a:rPr lang="en-US"/>
            <a:t>Achieve objectives </a:t>
          </a:r>
        </a:p>
      </dgm:t>
    </dgm:pt>
    <dgm:pt modelId="{0048CA06-71E6-4A2F-B59E-D6210664B43B}" type="parTrans" cxnId="{B1E52103-3192-4121-B98D-18B266AC7EAD}">
      <dgm:prSet/>
      <dgm:spPr/>
      <dgm:t>
        <a:bodyPr/>
        <a:lstStyle/>
        <a:p>
          <a:endParaRPr lang="en-US"/>
        </a:p>
      </dgm:t>
    </dgm:pt>
    <dgm:pt modelId="{0D2BCA07-FA7F-4091-97B9-A344686C126C}" type="sibTrans" cxnId="{B1E52103-3192-4121-B98D-18B266AC7EAD}">
      <dgm:prSet/>
      <dgm:spPr/>
      <dgm:t>
        <a:bodyPr/>
        <a:lstStyle/>
        <a:p>
          <a:endParaRPr lang="en-US"/>
        </a:p>
      </dgm:t>
    </dgm:pt>
    <dgm:pt modelId="{67A14434-88CA-4710-87AD-0A8F3FA54BEB}">
      <dgm:prSet phldrT="[Text]"/>
      <dgm:spPr/>
      <dgm:t>
        <a:bodyPr/>
        <a:lstStyle/>
        <a:p>
          <a:r>
            <a:rPr lang="en-US"/>
            <a:t>Track progress and regular feedback</a:t>
          </a:r>
        </a:p>
      </dgm:t>
    </dgm:pt>
    <dgm:pt modelId="{F46970BF-FAEF-4DF8-8CCC-54463040FBE0}" type="parTrans" cxnId="{1E868416-C765-428D-BB64-374337716EC0}">
      <dgm:prSet/>
      <dgm:spPr/>
      <dgm:t>
        <a:bodyPr/>
        <a:lstStyle/>
        <a:p>
          <a:endParaRPr lang="en-US"/>
        </a:p>
      </dgm:t>
    </dgm:pt>
    <dgm:pt modelId="{2C475D67-ACB4-4062-845A-0B47F7A6EE34}" type="sibTrans" cxnId="{1E868416-C765-428D-BB64-374337716EC0}">
      <dgm:prSet/>
      <dgm:spPr/>
      <dgm:t>
        <a:bodyPr/>
        <a:lstStyle/>
        <a:p>
          <a:endParaRPr lang="en-US"/>
        </a:p>
      </dgm:t>
    </dgm:pt>
    <dgm:pt modelId="{55184F9E-9283-4BE1-A549-5917E366EF58}">
      <dgm:prSet phldrT="[Text]"/>
      <dgm:spPr/>
      <dgm:t>
        <a:bodyPr/>
        <a:lstStyle/>
        <a:p>
          <a:r>
            <a:rPr lang="en-US"/>
            <a:t>Review Achievements </a:t>
          </a:r>
        </a:p>
      </dgm:t>
    </dgm:pt>
    <dgm:pt modelId="{43E1B366-5BAF-4EA1-98CF-3D893C791BE0}" type="parTrans" cxnId="{87047C0F-B4B8-4305-953E-A460D2858E40}">
      <dgm:prSet/>
      <dgm:spPr/>
      <dgm:t>
        <a:bodyPr/>
        <a:lstStyle/>
        <a:p>
          <a:endParaRPr lang="en-US"/>
        </a:p>
      </dgm:t>
    </dgm:pt>
    <dgm:pt modelId="{CA1670F7-BA60-486E-8891-619AA2228A57}" type="sibTrans" cxnId="{87047C0F-B4B8-4305-953E-A460D2858E40}">
      <dgm:prSet/>
      <dgm:spPr/>
      <dgm:t>
        <a:bodyPr/>
        <a:lstStyle/>
        <a:p>
          <a:endParaRPr lang="en-US"/>
        </a:p>
      </dgm:t>
    </dgm:pt>
    <dgm:pt modelId="{9419AA49-62E1-4C09-9193-79643E4B0391}" type="pres">
      <dgm:prSet presAssocID="{EBD6BDA0-9AFF-4A19-BDD1-154DC2AB3370}" presName="cycle" presStyleCnt="0">
        <dgm:presLayoutVars>
          <dgm:dir/>
          <dgm:resizeHandles val="exact"/>
        </dgm:presLayoutVars>
      </dgm:prSet>
      <dgm:spPr/>
      <dgm:t>
        <a:bodyPr/>
        <a:lstStyle/>
        <a:p>
          <a:endParaRPr lang="en-US"/>
        </a:p>
      </dgm:t>
    </dgm:pt>
    <dgm:pt modelId="{BEBE1446-7BCC-48D5-BF8F-DAC01EFEC9FE}" type="pres">
      <dgm:prSet presAssocID="{856F3C3C-6960-4FA6-AA73-8F865DC0979E}" presName="node" presStyleLbl="node1" presStyleIdx="0" presStyleCnt="5">
        <dgm:presLayoutVars>
          <dgm:bulletEnabled val="1"/>
        </dgm:presLayoutVars>
      </dgm:prSet>
      <dgm:spPr/>
      <dgm:t>
        <a:bodyPr/>
        <a:lstStyle/>
        <a:p>
          <a:endParaRPr lang="en-US"/>
        </a:p>
      </dgm:t>
    </dgm:pt>
    <dgm:pt modelId="{A42431E7-AC69-4982-A4F9-C0C070FE4152}" type="pres">
      <dgm:prSet presAssocID="{856F3C3C-6960-4FA6-AA73-8F865DC0979E}" presName="spNode" presStyleCnt="0"/>
      <dgm:spPr/>
    </dgm:pt>
    <dgm:pt modelId="{ECF238A4-9838-4A48-8F19-6B731B827771}" type="pres">
      <dgm:prSet presAssocID="{718983DC-64F9-4AA2-BBAC-6D171C500ACE}" presName="sibTrans" presStyleLbl="sibTrans1D1" presStyleIdx="0" presStyleCnt="5"/>
      <dgm:spPr/>
      <dgm:t>
        <a:bodyPr/>
        <a:lstStyle/>
        <a:p>
          <a:endParaRPr lang="en-US"/>
        </a:p>
      </dgm:t>
    </dgm:pt>
    <dgm:pt modelId="{07B446DF-69BB-42E7-BC00-ABD975251582}" type="pres">
      <dgm:prSet presAssocID="{62291946-3C6B-4A37-B3DF-8F09E31EDBC5}" presName="node" presStyleLbl="node1" presStyleIdx="1" presStyleCnt="5">
        <dgm:presLayoutVars>
          <dgm:bulletEnabled val="1"/>
        </dgm:presLayoutVars>
      </dgm:prSet>
      <dgm:spPr/>
      <dgm:t>
        <a:bodyPr/>
        <a:lstStyle/>
        <a:p>
          <a:endParaRPr lang="en-US"/>
        </a:p>
      </dgm:t>
    </dgm:pt>
    <dgm:pt modelId="{5071578A-BB6F-4488-9C79-D6BBD0988E10}" type="pres">
      <dgm:prSet presAssocID="{62291946-3C6B-4A37-B3DF-8F09E31EDBC5}" presName="spNode" presStyleCnt="0"/>
      <dgm:spPr/>
    </dgm:pt>
    <dgm:pt modelId="{C51CFACC-5467-4567-86A2-41CD381FC58F}" type="pres">
      <dgm:prSet presAssocID="{6AD1EEEB-E3E0-474B-9583-6D301D7BE197}" presName="sibTrans" presStyleLbl="sibTrans1D1" presStyleIdx="1" presStyleCnt="5"/>
      <dgm:spPr/>
      <dgm:t>
        <a:bodyPr/>
        <a:lstStyle/>
        <a:p>
          <a:endParaRPr lang="en-US"/>
        </a:p>
      </dgm:t>
    </dgm:pt>
    <dgm:pt modelId="{D4747E11-2433-48F8-BC2D-52CEB66670FD}" type="pres">
      <dgm:prSet presAssocID="{71118C6E-E84E-4CF8-B444-0A773AB663ED}" presName="node" presStyleLbl="node1" presStyleIdx="2" presStyleCnt="5">
        <dgm:presLayoutVars>
          <dgm:bulletEnabled val="1"/>
        </dgm:presLayoutVars>
      </dgm:prSet>
      <dgm:spPr/>
      <dgm:t>
        <a:bodyPr/>
        <a:lstStyle/>
        <a:p>
          <a:endParaRPr lang="en-US"/>
        </a:p>
      </dgm:t>
    </dgm:pt>
    <dgm:pt modelId="{0CFB1499-2FEB-48D6-8A9A-E785C6C3C04E}" type="pres">
      <dgm:prSet presAssocID="{71118C6E-E84E-4CF8-B444-0A773AB663ED}" presName="spNode" presStyleCnt="0"/>
      <dgm:spPr/>
    </dgm:pt>
    <dgm:pt modelId="{340C9249-8AB5-4FCD-AAAD-E9B4060A16F8}" type="pres">
      <dgm:prSet presAssocID="{0D2BCA07-FA7F-4091-97B9-A344686C126C}" presName="sibTrans" presStyleLbl="sibTrans1D1" presStyleIdx="2" presStyleCnt="5"/>
      <dgm:spPr/>
      <dgm:t>
        <a:bodyPr/>
        <a:lstStyle/>
        <a:p>
          <a:endParaRPr lang="en-US"/>
        </a:p>
      </dgm:t>
    </dgm:pt>
    <dgm:pt modelId="{E8B3F76D-3AD6-4EBC-A7FA-34472302FF49}" type="pres">
      <dgm:prSet presAssocID="{67A14434-88CA-4710-87AD-0A8F3FA54BEB}" presName="node" presStyleLbl="node1" presStyleIdx="3" presStyleCnt="5">
        <dgm:presLayoutVars>
          <dgm:bulletEnabled val="1"/>
        </dgm:presLayoutVars>
      </dgm:prSet>
      <dgm:spPr/>
      <dgm:t>
        <a:bodyPr/>
        <a:lstStyle/>
        <a:p>
          <a:endParaRPr lang="en-US"/>
        </a:p>
      </dgm:t>
    </dgm:pt>
    <dgm:pt modelId="{A654164D-D846-44E9-8779-CACD404A66ED}" type="pres">
      <dgm:prSet presAssocID="{67A14434-88CA-4710-87AD-0A8F3FA54BEB}" presName="spNode" presStyleCnt="0"/>
      <dgm:spPr/>
    </dgm:pt>
    <dgm:pt modelId="{FF7D7961-A533-4A8E-AE34-592680DD750C}" type="pres">
      <dgm:prSet presAssocID="{2C475D67-ACB4-4062-845A-0B47F7A6EE34}" presName="sibTrans" presStyleLbl="sibTrans1D1" presStyleIdx="3" presStyleCnt="5"/>
      <dgm:spPr/>
      <dgm:t>
        <a:bodyPr/>
        <a:lstStyle/>
        <a:p>
          <a:endParaRPr lang="en-US"/>
        </a:p>
      </dgm:t>
    </dgm:pt>
    <dgm:pt modelId="{55A946C3-D5FF-4500-802B-39022ED52A97}" type="pres">
      <dgm:prSet presAssocID="{55184F9E-9283-4BE1-A549-5917E366EF58}" presName="node" presStyleLbl="node1" presStyleIdx="4" presStyleCnt="5">
        <dgm:presLayoutVars>
          <dgm:bulletEnabled val="1"/>
        </dgm:presLayoutVars>
      </dgm:prSet>
      <dgm:spPr/>
      <dgm:t>
        <a:bodyPr/>
        <a:lstStyle/>
        <a:p>
          <a:endParaRPr lang="en-US"/>
        </a:p>
      </dgm:t>
    </dgm:pt>
    <dgm:pt modelId="{50BEEE2B-3540-4C08-9CF3-C72ECC0A8AC8}" type="pres">
      <dgm:prSet presAssocID="{55184F9E-9283-4BE1-A549-5917E366EF58}" presName="spNode" presStyleCnt="0"/>
      <dgm:spPr/>
    </dgm:pt>
    <dgm:pt modelId="{719C0BD0-46FC-44BD-91C2-97ECAD8402C1}" type="pres">
      <dgm:prSet presAssocID="{CA1670F7-BA60-486E-8891-619AA2228A57}" presName="sibTrans" presStyleLbl="sibTrans1D1" presStyleIdx="4" presStyleCnt="5"/>
      <dgm:spPr/>
      <dgm:t>
        <a:bodyPr/>
        <a:lstStyle/>
        <a:p>
          <a:endParaRPr lang="en-US"/>
        </a:p>
      </dgm:t>
    </dgm:pt>
  </dgm:ptLst>
  <dgm:cxnLst>
    <dgm:cxn modelId="{A577EEA7-32EC-4CB1-87C0-063D434B1E6C}" type="presOf" srcId="{55184F9E-9283-4BE1-A549-5917E366EF58}" destId="{55A946C3-D5FF-4500-802B-39022ED52A97}" srcOrd="0" destOrd="0" presId="urn:microsoft.com/office/officeart/2005/8/layout/cycle6#1"/>
    <dgm:cxn modelId="{982A436C-FD06-4736-9040-C98051CF141A}" type="presOf" srcId="{71118C6E-E84E-4CF8-B444-0A773AB663ED}" destId="{D4747E11-2433-48F8-BC2D-52CEB66670FD}" srcOrd="0" destOrd="0" presId="urn:microsoft.com/office/officeart/2005/8/layout/cycle6#1"/>
    <dgm:cxn modelId="{1E868416-C765-428D-BB64-374337716EC0}" srcId="{EBD6BDA0-9AFF-4A19-BDD1-154DC2AB3370}" destId="{67A14434-88CA-4710-87AD-0A8F3FA54BEB}" srcOrd="3" destOrd="0" parTransId="{F46970BF-FAEF-4DF8-8CCC-54463040FBE0}" sibTransId="{2C475D67-ACB4-4062-845A-0B47F7A6EE34}"/>
    <dgm:cxn modelId="{78CC7424-DE7C-4D92-8AB9-E551369F2119}" srcId="{EBD6BDA0-9AFF-4A19-BDD1-154DC2AB3370}" destId="{62291946-3C6B-4A37-B3DF-8F09E31EDBC5}" srcOrd="1" destOrd="0" parTransId="{0E7FEAFE-B24E-4CF9-850D-E4CA808A5087}" sibTransId="{6AD1EEEB-E3E0-474B-9583-6D301D7BE197}"/>
    <dgm:cxn modelId="{0FE13630-F2C5-47DE-BB0E-685C97DEF0CD}" type="presOf" srcId="{6AD1EEEB-E3E0-474B-9583-6D301D7BE197}" destId="{C51CFACC-5467-4567-86A2-41CD381FC58F}" srcOrd="0" destOrd="0" presId="urn:microsoft.com/office/officeart/2005/8/layout/cycle6#1"/>
    <dgm:cxn modelId="{3EDC444B-AC5E-423F-BCBD-7A3A3A49DA1B}" type="presOf" srcId="{62291946-3C6B-4A37-B3DF-8F09E31EDBC5}" destId="{07B446DF-69BB-42E7-BC00-ABD975251582}" srcOrd="0" destOrd="0" presId="urn:microsoft.com/office/officeart/2005/8/layout/cycle6#1"/>
    <dgm:cxn modelId="{D18C29A1-DB6C-404C-95F8-DD30EB0D35BA}" type="presOf" srcId="{EBD6BDA0-9AFF-4A19-BDD1-154DC2AB3370}" destId="{9419AA49-62E1-4C09-9193-79643E4B0391}" srcOrd="0" destOrd="0" presId="urn:microsoft.com/office/officeart/2005/8/layout/cycle6#1"/>
    <dgm:cxn modelId="{E8310972-598F-40A7-9606-1FCC7819D8DD}" type="presOf" srcId="{856F3C3C-6960-4FA6-AA73-8F865DC0979E}" destId="{BEBE1446-7BCC-48D5-BF8F-DAC01EFEC9FE}" srcOrd="0" destOrd="0" presId="urn:microsoft.com/office/officeart/2005/8/layout/cycle6#1"/>
    <dgm:cxn modelId="{B8FBBA45-C683-4AE3-935F-0E0414E7DD80}" type="presOf" srcId="{CA1670F7-BA60-486E-8891-619AA2228A57}" destId="{719C0BD0-46FC-44BD-91C2-97ECAD8402C1}" srcOrd="0" destOrd="0" presId="urn:microsoft.com/office/officeart/2005/8/layout/cycle6#1"/>
    <dgm:cxn modelId="{87047C0F-B4B8-4305-953E-A460D2858E40}" srcId="{EBD6BDA0-9AFF-4A19-BDD1-154DC2AB3370}" destId="{55184F9E-9283-4BE1-A549-5917E366EF58}" srcOrd="4" destOrd="0" parTransId="{43E1B366-5BAF-4EA1-98CF-3D893C791BE0}" sibTransId="{CA1670F7-BA60-486E-8891-619AA2228A57}"/>
    <dgm:cxn modelId="{543C834C-554C-4F15-9F1B-1A84190CA58C}" srcId="{EBD6BDA0-9AFF-4A19-BDD1-154DC2AB3370}" destId="{856F3C3C-6960-4FA6-AA73-8F865DC0979E}" srcOrd="0" destOrd="0" parTransId="{45120C70-FC94-4874-A5D9-894B5E5DE51A}" sibTransId="{718983DC-64F9-4AA2-BBAC-6D171C500ACE}"/>
    <dgm:cxn modelId="{575C6C69-46E7-4D07-832E-8F655AFBE999}" type="presOf" srcId="{2C475D67-ACB4-4062-845A-0B47F7A6EE34}" destId="{FF7D7961-A533-4A8E-AE34-592680DD750C}" srcOrd="0" destOrd="0" presId="urn:microsoft.com/office/officeart/2005/8/layout/cycle6#1"/>
    <dgm:cxn modelId="{3943F0D4-3565-4EC2-9E40-FFC768B71277}" type="presOf" srcId="{0D2BCA07-FA7F-4091-97B9-A344686C126C}" destId="{340C9249-8AB5-4FCD-AAAD-E9B4060A16F8}" srcOrd="0" destOrd="0" presId="urn:microsoft.com/office/officeart/2005/8/layout/cycle6#1"/>
    <dgm:cxn modelId="{C2314A93-AFE7-44BB-813F-A799202B802A}" type="presOf" srcId="{718983DC-64F9-4AA2-BBAC-6D171C500ACE}" destId="{ECF238A4-9838-4A48-8F19-6B731B827771}" srcOrd="0" destOrd="0" presId="urn:microsoft.com/office/officeart/2005/8/layout/cycle6#1"/>
    <dgm:cxn modelId="{B1E52103-3192-4121-B98D-18B266AC7EAD}" srcId="{EBD6BDA0-9AFF-4A19-BDD1-154DC2AB3370}" destId="{71118C6E-E84E-4CF8-B444-0A773AB663ED}" srcOrd="2" destOrd="0" parTransId="{0048CA06-71E6-4A2F-B59E-D6210664B43B}" sibTransId="{0D2BCA07-FA7F-4091-97B9-A344686C126C}"/>
    <dgm:cxn modelId="{AC06A65C-BB2C-4E93-BCA8-3C9FDE6F4E31}" type="presOf" srcId="{67A14434-88CA-4710-87AD-0A8F3FA54BEB}" destId="{E8B3F76D-3AD6-4EBC-A7FA-34472302FF49}" srcOrd="0" destOrd="0" presId="urn:microsoft.com/office/officeart/2005/8/layout/cycle6#1"/>
    <dgm:cxn modelId="{81AFF463-BDEF-4314-9F7D-63E5303FC32B}" type="presParOf" srcId="{9419AA49-62E1-4C09-9193-79643E4B0391}" destId="{BEBE1446-7BCC-48D5-BF8F-DAC01EFEC9FE}" srcOrd="0" destOrd="0" presId="urn:microsoft.com/office/officeart/2005/8/layout/cycle6#1"/>
    <dgm:cxn modelId="{CCDDAE7A-97D8-4E1A-BF46-0328B8FCB6FE}" type="presParOf" srcId="{9419AA49-62E1-4C09-9193-79643E4B0391}" destId="{A42431E7-AC69-4982-A4F9-C0C070FE4152}" srcOrd="1" destOrd="0" presId="urn:microsoft.com/office/officeart/2005/8/layout/cycle6#1"/>
    <dgm:cxn modelId="{93D9EDDD-8D44-43ED-BDE6-E92F356BE2E7}" type="presParOf" srcId="{9419AA49-62E1-4C09-9193-79643E4B0391}" destId="{ECF238A4-9838-4A48-8F19-6B731B827771}" srcOrd="2" destOrd="0" presId="urn:microsoft.com/office/officeart/2005/8/layout/cycle6#1"/>
    <dgm:cxn modelId="{1FF230B6-D5B6-45C3-90A6-9E1152AA1447}" type="presParOf" srcId="{9419AA49-62E1-4C09-9193-79643E4B0391}" destId="{07B446DF-69BB-42E7-BC00-ABD975251582}" srcOrd="3" destOrd="0" presId="urn:microsoft.com/office/officeart/2005/8/layout/cycle6#1"/>
    <dgm:cxn modelId="{378A4F6D-F81E-4B08-8490-9DDE296BA35E}" type="presParOf" srcId="{9419AA49-62E1-4C09-9193-79643E4B0391}" destId="{5071578A-BB6F-4488-9C79-D6BBD0988E10}" srcOrd="4" destOrd="0" presId="urn:microsoft.com/office/officeart/2005/8/layout/cycle6#1"/>
    <dgm:cxn modelId="{1448199B-0A00-4045-BACA-9EAAA03A69B6}" type="presParOf" srcId="{9419AA49-62E1-4C09-9193-79643E4B0391}" destId="{C51CFACC-5467-4567-86A2-41CD381FC58F}" srcOrd="5" destOrd="0" presId="urn:microsoft.com/office/officeart/2005/8/layout/cycle6#1"/>
    <dgm:cxn modelId="{3952276D-F76D-496E-A657-B7C1691D11C6}" type="presParOf" srcId="{9419AA49-62E1-4C09-9193-79643E4B0391}" destId="{D4747E11-2433-48F8-BC2D-52CEB66670FD}" srcOrd="6" destOrd="0" presId="urn:microsoft.com/office/officeart/2005/8/layout/cycle6#1"/>
    <dgm:cxn modelId="{56086428-3C0C-4A1D-9F04-1F0A10740B27}" type="presParOf" srcId="{9419AA49-62E1-4C09-9193-79643E4B0391}" destId="{0CFB1499-2FEB-48D6-8A9A-E785C6C3C04E}" srcOrd="7" destOrd="0" presId="urn:microsoft.com/office/officeart/2005/8/layout/cycle6#1"/>
    <dgm:cxn modelId="{7E9E63A2-A13A-4FFE-919B-8780423A0644}" type="presParOf" srcId="{9419AA49-62E1-4C09-9193-79643E4B0391}" destId="{340C9249-8AB5-4FCD-AAAD-E9B4060A16F8}" srcOrd="8" destOrd="0" presId="urn:microsoft.com/office/officeart/2005/8/layout/cycle6#1"/>
    <dgm:cxn modelId="{E7267F0F-3CCD-46A9-AD31-4E99A638CA4A}" type="presParOf" srcId="{9419AA49-62E1-4C09-9193-79643E4B0391}" destId="{E8B3F76D-3AD6-4EBC-A7FA-34472302FF49}" srcOrd="9" destOrd="0" presId="urn:microsoft.com/office/officeart/2005/8/layout/cycle6#1"/>
    <dgm:cxn modelId="{6375FD3F-69E5-43D4-A639-21DD3BB21059}" type="presParOf" srcId="{9419AA49-62E1-4C09-9193-79643E4B0391}" destId="{A654164D-D846-44E9-8779-CACD404A66ED}" srcOrd="10" destOrd="0" presId="urn:microsoft.com/office/officeart/2005/8/layout/cycle6#1"/>
    <dgm:cxn modelId="{5C9899E1-BE29-4F06-8D94-6943225CD179}" type="presParOf" srcId="{9419AA49-62E1-4C09-9193-79643E4B0391}" destId="{FF7D7961-A533-4A8E-AE34-592680DD750C}" srcOrd="11" destOrd="0" presId="urn:microsoft.com/office/officeart/2005/8/layout/cycle6#1"/>
    <dgm:cxn modelId="{D664B48C-580C-49DF-A597-A8CD67192432}" type="presParOf" srcId="{9419AA49-62E1-4C09-9193-79643E4B0391}" destId="{55A946C3-D5FF-4500-802B-39022ED52A97}" srcOrd="12" destOrd="0" presId="urn:microsoft.com/office/officeart/2005/8/layout/cycle6#1"/>
    <dgm:cxn modelId="{E5572CD5-E869-42D1-869A-31DDB528B268}" type="presParOf" srcId="{9419AA49-62E1-4C09-9193-79643E4B0391}" destId="{50BEEE2B-3540-4C08-9CF3-C72ECC0A8AC8}" srcOrd="13" destOrd="0" presId="urn:microsoft.com/office/officeart/2005/8/layout/cycle6#1"/>
    <dgm:cxn modelId="{DE35B8A8-2789-4E2E-8E81-D48BAF72F459}" type="presParOf" srcId="{9419AA49-62E1-4C09-9193-79643E4B0391}" destId="{719C0BD0-46FC-44BD-91C2-97ECAD8402C1}" srcOrd="14" destOrd="0" presId="urn:microsoft.com/office/officeart/2005/8/layout/cycle6#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BE1446-7BCC-48D5-BF8F-DAC01EFEC9FE}">
      <dsp:nvSpPr>
        <dsp:cNvPr id="0" name=""/>
        <dsp:cNvSpPr/>
      </dsp:nvSpPr>
      <dsp:spPr>
        <a:xfrm>
          <a:off x="2218134" y="1154"/>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Organizational goals and objectives</a:t>
          </a:r>
        </a:p>
      </dsp:txBody>
      <dsp:txXfrm>
        <a:off x="2251455" y="34475"/>
        <a:ext cx="983489" cy="615943"/>
      </dsp:txXfrm>
    </dsp:sp>
    <dsp:sp modelId="{ECF238A4-9838-4A48-8F19-6B731B827771}">
      <dsp:nvSpPr>
        <dsp:cNvPr id="0" name=""/>
        <dsp:cNvSpPr/>
      </dsp:nvSpPr>
      <dsp:spPr>
        <a:xfrm>
          <a:off x="1377808" y="342446"/>
          <a:ext cx="2730783" cy="2730783"/>
        </a:xfrm>
        <a:custGeom>
          <a:avLst/>
          <a:gdLst/>
          <a:ahLst/>
          <a:cxnLst/>
          <a:rect l="0" t="0" r="0" b="0"/>
          <a:pathLst>
            <a:path>
              <a:moveTo>
                <a:pt x="1897692" y="108033"/>
              </a:moveTo>
              <a:arcTo wR="1365391" hR="1365391" stAng="17576717" swAng="196442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7B446DF-69BB-42E7-BC00-ABD975251582}">
      <dsp:nvSpPr>
        <dsp:cNvPr id="0" name=""/>
        <dsp:cNvSpPr/>
      </dsp:nvSpPr>
      <dsp:spPr>
        <a:xfrm>
          <a:off x="351669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setting SMART objectives </a:t>
          </a:r>
        </a:p>
      </dsp:txBody>
      <dsp:txXfrm>
        <a:off x="3550020" y="977937"/>
        <a:ext cx="983489" cy="615943"/>
      </dsp:txXfrm>
    </dsp:sp>
    <dsp:sp modelId="{C51CFACC-5467-4567-86A2-41CD381FC58F}">
      <dsp:nvSpPr>
        <dsp:cNvPr id="0" name=""/>
        <dsp:cNvSpPr/>
      </dsp:nvSpPr>
      <dsp:spPr>
        <a:xfrm>
          <a:off x="1377808" y="342446"/>
          <a:ext cx="2730783" cy="2730783"/>
        </a:xfrm>
        <a:custGeom>
          <a:avLst/>
          <a:gdLst/>
          <a:ahLst/>
          <a:cxnLst/>
          <a:rect l="0" t="0" r="0" b="0"/>
          <a:pathLst>
            <a:path>
              <a:moveTo>
                <a:pt x="2728889" y="1293491"/>
              </a:moveTo>
              <a:arcTo wR="1365391" hR="1365391" stAng="21418887" swAng="219852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4747E11-2433-48F8-BC2D-52CEB66670FD}">
      <dsp:nvSpPr>
        <dsp:cNvPr id="0" name=""/>
        <dsp:cNvSpPr/>
      </dsp:nvSpPr>
      <dsp:spPr>
        <a:xfrm>
          <a:off x="3020691"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Achieve objectives </a:t>
          </a:r>
        </a:p>
      </dsp:txBody>
      <dsp:txXfrm>
        <a:off x="3054012" y="2504491"/>
        <a:ext cx="983489" cy="615943"/>
      </dsp:txXfrm>
    </dsp:sp>
    <dsp:sp modelId="{340C9249-8AB5-4FCD-AAAD-E9B4060A16F8}">
      <dsp:nvSpPr>
        <dsp:cNvPr id="0" name=""/>
        <dsp:cNvSpPr/>
      </dsp:nvSpPr>
      <dsp:spPr>
        <a:xfrm>
          <a:off x="1377808" y="342446"/>
          <a:ext cx="2730783" cy="2730783"/>
        </a:xfrm>
        <a:custGeom>
          <a:avLst/>
          <a:gdLst/>
          <a:ahLst/>
          <a:cxnLst/>
          <a:rect l="0" t="0" r="0" b="0"/>
          <a:pathLst>
            <a:path>
              <a:moveTo>
                <a:pt x="1637447" y="2703405"/>
              </a:moveTo>
              <a:arcTo wR="1365391" hR="1365391" stAng="4710411" swAng="137917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8B3F76D-3AD6-4EBC-A7FA-34472302FF49}">
      <dsp:nvSpPr>
        <dsp:cNvPr id="0" name=""/>
        <dsp:cNvSpPr/>
      </dsp:nvSpPr>
      <dsp:spPr>
        <a:xfrm>
          <a:off x="1415577"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Track progress and regular feedback</a:t>
          </a:r>
        </a:p>
      </dsp:txBody>
      <dsp:txXfrm>
        <a:off x="1448898" y="2504491"/>
        <a:ext cx="983489" cy="615943"/>
      </dsp:txXfrm>
    </dsp:sp>
    <dsp:sp modelId="{FF7D7961-A533-4A8E-AE34-592680DD750C}">
      <dsp:nvSpPr>
        <dsp:cNvPr id="0" name=""/>
        <dsp:cNvSpPr/>
      </dsp:nvSpPr>
      <dsp:spPr>
        <a:xfrm>
          <a:off x="1377808" y="342446"/>
          <a:ext cx="2730783" cy="2730783"/>
        </a:xfrm>
        <a:custGeom>
          <a:avLst/>
          <a:gdLst/>
          <a:ahLst/>
          <a:cxnLst/>
          <a:rect l="0" t="0" r="0" b="0"/>
          <a:pathLst>
            <a:path>
              <a:moveTo>
                <a:pt x="228437" y="2121453"/>
              </a:moveTo>
              <a:arcTo wR="1365391" hR="1365391" stAng="8782592" swAng="219852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5A946C3-D5FF-4500-802B-39022ED52A97}">
      <dsp:nvSpPr>
        <dsp:cNvPr id="0" name=""/>
        <dsp:cNvSpPr/>
      </dsp:nvSpPr>
      <dsp:spPr>
        <a:xfrm>
          <a:off x="91956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Review Achievements </a:t>
          </a:r>
        </a:p>
      </dsp:txBody>
      <dsp:txXfrm>
        <a:off x="952890" y="977937"/>
        <a:ext cx="983489" cy="615943"/>
      </dsp:txXfrm>
    </dsp:sp>
    <dsp:sp modelId="{719C0BD0-46FC-44BD-91C2-97ECAD8402C1}">
      <dsp:nvSpPr>
        <dsp:cNvPr id="0" name=""/>
        <dsp:cNvSpPr/>
      </dsp:nvSpPr>
      <dsp:spPr>
        <a:xfrm>
          <a:off x="1377808" y="342446"/>
          <a:ext cx="2730783" cy="2730783"/>
        </a:xfrm>
        <a:custGeom>
          <a:avLst/>
          <a:gdLst/>
          <a:ahLst/>
          <a:cxnLst/>
          <a:rect l="0" t="0" r="0" b="0"/>
          <a:pathLst>
            <a:path>
              <a:moveTo>
                <a:pt x="237636" y="595675"/>
              </a:moveTo>
              <a:arcTo wR="1365391" hR="1365391" stAng="12858860" swAng="196442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1">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panAng" val="360"/>
              <dgm:param type="stAng" val="0"/>
            </dgm:alg>
          </dgm:if>
          <dgm:else name="Name4">
            <dgm:alg type="cycle">
              <dgm:param type="spanAng" val="360"/>
              <dgm:param type="stAng" val="-90"/>
            </dgm:alg>
          </dgm:else>
        </dgm:choose>
      </dgm:if>
      <dgm:else name="Name5">
        <dgm:choose name="Name6">
          <dgm:if name="Name7" axis="ch" ptType="node" func="cnt" op="gt" val="2">
            <dgm:alg type="cycle">
              <dgm:param type="spanAng" val="-360"/>
              <dgm:param type="stAng" val="0"/>
            </dgm:alg>
          </dgm:if>
          <dgm:else name="Name8">
            <dgm:alg type="cycle">
              <dgm:param type="spanAng" val="-360"/>
              <dgm:param type="stAng" val="9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begPts" val="radial"/>
                <dgm:param type="connRout" val="curve"/>
                <dgm:param type="dim" val="1D"/>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1261</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5</cp:revision>
  <dcterms:created xsi:type="dcterms:W3CDTF">2020-01-11T10:35:00Z</dcterms:created>
  <dcterms:modified xsi:type="dcterms:W3CDTF">2020-01-11T10:41:00Z</dcterms:modified>
</cp:coreProperties>
</file>